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FB" w:rsidRPr="002032E7" w:rsidRDefault="006C3C6B" w:rsidP="009062FB">
      <w:pPr>
        <w:rPr>
          <w:rFonts w:ascii="Garamond" w:hAnsi="Garamond"/>
          <w:sz w:val="26"/>
          <w:szCs w:val="26"/>
        </w:rPr>
      </w:pPr>
      <w:bookmarkStart w:id="0" w:name="_GoBack"/>
      <w:bookmarkEnd w:id="0"/>
      <w:r w:rsidRPr="002032E7">
        <w:rPr>
          <w:rFonts w:ascii="Garamond" w:hAnsi="Garamond"/>
          <w:sz w:val="26"/>
          <w:szCs w:val="26"/>
        </w:rPr>
        <w:t>UDENRIGSMINISTERIET</w:t>
      </w:r>
    </w:p>
    <w:p w:rsidR="009062FB" w:rsidRDefault="006E06C3" w:rsidP="00F309B6">
      <w:pPr>
        <w:autoSpaceDE w:val="0"/>
        <w:autoSpaceDN w:val="0"/>
        <w:adjustRightInd w:val="0"/>
        <w:spacing w:after="0" w:line="240" w:lineRule="auto"/>
        <w:jc w:val="right"/>
        <w:rPr>
          <w:rFonts w:ascii="Garamond" w:hAnsi="Garamond" w:cs="Arial"/>
          <w:bCs/>
          <w:sz w:val="26"/>
          <w:szCs w:val="26"/>
        </w:rPr>
      </w:pPr>
    </w:p>
    <w:p w:rsidR="00F309B6" w:rsidRPr="002339AE" w:rsidRDefault="00BA57EF" w:rsidP="00F309B6">
      <w:pPr>
        <w:autoSpaceDE w:val="0"/>
        <w:autoSpaceDN w:val="0"/>
        <w:adjustRightInd w:val="0"/>
        <w:spacing w:after="0" w:line="240" w:lineRule="auto"/>
        <w:jc w:val="right"/>
        <w:rPr>
          <w:rFonts w:ascii="Garamond" w:hAnsi="Garamond" w:cs="Arial"/>
          <w:bCs/>
          <w:sz w:val="26"/>
          <w:szCs w:val="26"/>
        </w:rPr>
      </w:pPr>
      <w:r>
        <w:rPr>
          <w:rFonts w:ascii="Garamond" w:hAnsi="Garamond" w:cs="Arial"/>
          <w:bCs/>
          <w:sz w:val="26"/>
          <w:szCs w:val="26"/>
        </w:rPr>
        <w:t xml:space="preserve">8. </w:t>
      </w:r>
      <w:r w:rsidR="006C3C6B">
        <w:rPr>
          <w:rFonts w:ascii="Garamond" w:hAnsi="Garamond" w:cs="Arial"/>
          <w:bCs/>
          <w:sz w:val="26"/>
          <w:szCs w:val="26"/>
        </w:rPr>
        <w:t>december 2016</w:t>
      </w:r>
    </w:p>
    <w:p w:rsidR="007A2AE8" w:rsidRDefault="006E06C3" w:rsidP="007A2AE8">
      <w:pPr>
        <w:autoSpaceDE w:val="0"/>
        <w:autoSpaceDN w:val="0"/>
        <w:adjustRightInd w:val="0"/>
        <w:spacing w:after="0" w:line="240" w:lineRule="auto"/>
        <w:jc w:val="right"/>
        <w:rPr>
          <w:rFonts w:ascii="Garamond" w:hAnsi="Garamond" w:cs="Arial"/>
          <w:bCs/>
          <w:sz w:val="26"/>
          <w:szCs w:val="26"/>
          <w:u w:val="single"/>
        </w:rPr>
      </w:pPr>
    </w:p>
    <w:p w:rsidR="007A2AE8" w:rsidRPr="002032E7" w:rsidRDefault="006C3C6B" w:rsidP="00EF2E12">
      <w:pPr>
        <w:spacing w:line="240" w:lineRule="auto"/>
        <w:ind w:left="6095"/>
        <w:contextualSpacing/>
        <w:rPr>
          <w:rFonts w:ascii="Garamond" w:hAnsi="Garamond"/>
          <w:sz w:val="26"/>
          <w:szCs w:val="26"/>
        </w:rPr>
      </w:pPr>
      <w:r>
        <w:rPr>
          <w:rFonts w:ascii="Garamond" w:hAnsi="Garamond"/>
          <w:sz w:val="26"/>
          <w:szCs w:val="26"/>
        </w:rPr>
        <w:t>Skriftlig b</w:t>
      </w:r>
      <w:r w:rsidRPr="002032E7">
        <w:rPr>
          <w:rFonts w:ascii="Garamond" w:hAnsi="Garamond"/>
          <w:sz w:val="26"/>
          <w:szCs w:val="26"/>
        </w:rPr>
        <w:t xml:space="preserve">esvarelse </w:t>
      </w:r>
      <w:r>
        <w:rPr>
          <w:rFonts w:ascii="Garamond" w:hAnsi="Garamond"/>
          <w:sz w:val="26"/>
          <w:szCs w:val="26"/>
        </w:rPr>
        <w:t>af § 20 spørgsmål nr. S 358 til u</w:t>
      </w:r>
      <w:r w:rsidRPr="002032E7">
        <w:rPr>
          <w:rFonts w:ascii="Garamond" w:hAnsi="Garamond"/>
          <w:sz w:val="26"/>
          <w:szCs w:val="26"/>
        </w:rPr>
        <w:t>denr</w:t>
      </w:r>
      <w:r>
        <w:rPr>
          <w:rFonts w:ascii="Garamond" w:hAnsi="Garamond"/>
          <w:sz w:val="26"/>
          <w:szCs w:val="26"/>
        </w:rPr>
        <w:t>igsministeren stillet af medlem af Folketinget Sjúr</w:t>
      </w:r>
      <w:r w:rsidRPr="00387851">
        <w:rPr>
          <w:rFonts w:ascii="Garamond" w:hAnsi="Garamond"/>
          <w:sz w:val="26"/>
          <w:szCs w:val="26"/>
        </w:rPr>
        <w:t>ð</w:t>
      </w:r>
      <w:r>
        <w:rPr>
          <w:rFonts w:ascii="Garamond" w:hAnsi="Garamond"/>
          <w:sz w:val="26"/>
          <w:szCs w:val="26"/>
        </w:rPr>
        <w:t>ur Skaale (JF).</w:t>
      </w:r>
    </w:p>
    <w:p w:rsidR="007A2AE8" w:rsidRPr="002032E7" w:rsidRDefault="006E06C3" w:rsidP="007A2AE8">
      <w:pPr>
        <w:ind w:left="6521"/>
        <w:jc w:val="right"/>
        <w:rPr>
          <w:rFonts w:ascii="Garamond" w:hAnsi="Garamond"/>
          <w:sz w:val="26"/>
          <w:szCs w:val="26"/>
        </w:rPr>
      </w:pPr>
    </w:p>
    <w:p w:rsidR="007A2AE8" w:rsidRDefault="006E06C3" w:rsidP="007A2AE8">
      <w:pPr>
        <w:autoSpaceDE w:val="0"/>
        <w:autoSpaceDN w:val="0"/>
        <w:adjustRightInd w:val="0"/>
        <w:spacing w:after="0" w:line="240" w:lineRule="auto"/>
        <w:rPr>
          <w:rFonts w:ascii="Garamond" w:hAnsi="Garamond" w:cs="Arial"/>
          <w:bCs/>
          <w:sz w:val="26"/>
          <w:szCs w:val="26"/>
          <w:u w:val="single"/>
        </w:rPr>
      </w:pPr>
    </w:p>
    <w:p w:rsidR="007A2AE8" w:rsidRDefault="006C3C6B" w:rsidP="003458EF">
      <w:pPr>
        <w:autoSpaceDE w:val="0"/>
        <w:autoSpaceDN w:val="0"/>
        <w:adjustRightInd w:val="0"/>
        <w:spacing w:after="0" w:line="240" w:lineRule="auto"/>
        <w:contextualSpacing/>
        <w:rPr>
          <w:rFonts w:ascii="Garamond" w:hAnsi="Garamond" w:cs="Arial"/>
          <w:bCs/>
          <w:sz w:val="26"/>
          <w:szCs w:val="26"/>
          <w:u w:val="single"/>
        </w:rPr>
      </w:pPr>
      <w:r w:rsidRPr="00C96FED">
        <w:rPr>
          <w:rFonts w:ascii="Garamond" w:hAnsi="Garamond" w:cs="Arial"/>
          <w:bCs/>
          <w:sz w:val="26"/>
          <w:szCs w:val="26"/>
          <w:u w:val="single"/>
        </w:rPr>
        <w:t xml:space="preserve">Spørgsmål nr. </w:t>
      </w:r>
      <w:r>
        <w:rPr>
          <w:rFonts w:ascii="Garamond" w:hAnsi="Garamond" w:cs="Arial"/>
          <w:bCs/>
          <w:sz w:val="26"/>
          <w:szCs w:val="26"/>
          <w:u w:val="single"/>
        </w:rPr>
        <w:t>S 358</w:t>
      </w:r>
      <w:r w:rsidRPr="00C96FED">
        <w:rPr>
          <w:rFonts w:ascii="Garamond" w:hAnsi="Garamond" w:cs="Arial"/>
          <w:bCs/>
          <w:sz w:val="26"/>
          <w:szCs w:val="26"/>
          <w:u w:val="single"/>
        </w:rPr>
        <w:t>:</w:t>
      </w:r>
    </w:p>
    <w:p w:rsidR="00387851" w:rsidRPr="00387851" w:rsidRDefault="006C3C6B" w:rsidP="003458EF">
      <w:pPr>
        <w:pStyle w:val="Default"/>
        <w:contextualSpacing/>
      </w:pPr>
      <w:r w:rsidRPr="000365E7">
        <w:rPr>
          <w:rFonts w:ascii="Garamond" w:hAnsi="Garamond"/>
          <w:sz w:val="26"/>
          <w:szCs w:val="26"/>
        </w:rPr>
        <w:t xml:space="preserve">Hvad er udenrigsministerens holdning til den udenrigspolitiske fuldmagtslov og Færøernes ønske om at revurdere den? </w:t>
      </w:r>
    </w:p>
    <w:p w:rsidR="000646F1" w:rsidRPr="00FF1FC1" w:rsidRDefault="006E06C3" w:rsidP="003458EF">
      <w:pPr>
        <w:autoSpaceDE w:val="0"/>
        <w:autoSpaceDN w:val="0"/>
        <w:adjustRightInd w:val="0"/>
        <w:spacing w:after="0" w:line="240" w:lineRule="auto"/>
        <w:contextualSpacing/>
        <w:rPr>
          <w:rFonts w:ascii="Garamond" w:hAnsi="Garamond" w:cs="Arial"/>
          <w:sz w:val="26"/>
          <w:szCs w:val="26"/>
        </w:rPr>
      </w:pPr>
    </w:p>
    <w:p w:rsidR="007A2AE8" w:rsidRDefault="006C3C6B" w:rsidP="003458EF">
      <w:pPr>
        <w:spacing w:line="240" w:lineRule="auto"/>
        <w:contextualSpacing/>
        <w:rPr>
          <w:rFonts w:ascii="Garamond" w:hAnsi="Garamond"/>
          <w:sz w:val="26"/>
          <w:szCs w:val="26"/>
          <w:u w:val="single"/>
        </w:rPr>
      </w:pPr>
      <w:r w:rsidRPr="00C96FED">
        <w:rPr>
          <w:rFonts w:ascii="Garamond" w:hAnsi="Garamond"/>
          <w:sz w:val="26"/>
          <w:szCs w:val="26"/>
          <w:u w:val="single"/>
        </w:rPr>
        <w:t>Svar:</w:t>
      </w:r>
    </w:p>
    <w:p w:rsidR="00450B46" w:rsidRPr="00450B46" w:rsidRDefault="006C3C6B" w:rsidP="003458EF">
      <w:pPr>
        <w:autoSpaceDE w:val="0"/>
        <w:autoSpaceDN w:val="0"/>
        <w:adjustRightInd w:val="0"/>
        <w:spacing w:after="0" w:line="240" w:lineRule="auto"/>
        <w:contextualSpacing/>
        <w:rPr>
          <w:rFonts w:ascii="Garamond" w:hAnsi="Garamond" w:cs="Arial"/>
          <w:sz w:val="26"/>
          <w:szCs w:val="26"/>
        </w:rPr>
      </w:pPr>
      <w:r w:rsidRPr="00450B46">
        <w:rPr>
          <w:rFonts w:ascii="Garamond" w:hAnsi="Garamond" w:cs="Arial"/>
          <w:sz w:val="26"/>
          <w:szCs w:val="26"/>
        </w:rPr>
        <w:t xml:space="preserve">Det </w:t>
      </w:r>
      <w:r>
        <w:rPr>
          <w:rFonts w:ascii="Garamond" w:hAnsi="Garamond" w:cs="Arial"/>
          <w:sz w:val="26"/>
          <w:szCs w:val="26"/>
        </w:rPr>
        <w:t xml:space="preserve">fremgår af bemærkningerne til den færøske fuldmagtslov, den grønlandske fuldmagtslov og efterfølgende selvstyreloven, at det </w:t>
      </w:r>
      <w:r w:rsidRPr="00450B46">
        <w:rPr>
          <w:rFonts w:ascii="Garamond" w:hAnsi="Garamond" w:cs="Arial"/>
          <w:sz w:val="26"/>
          <w:szCs w:val="26"/>
        </w:rPr>
        <w:t>følger af grundlovens § 19, stk. 1, at Kongen handler på rigets vegne i mellemfolkelige anliggender. Det indebærer, at Færøerne</w:t>
      </w:r>
      <w:r>
        <w:rPr>
          <w:rFonts w:ascii="Garamond" w:hAnsi="Garamond" w:cs="Arial"/>
          <w:sz w:val="26"/>
          <w:szCs w:val="26"/>
        </w:rPr>
        <w:t xml:space="preserve"> og</w:t>
      </w:r>
      <w:r w:rsidRPr="00450B46">
        <w:rPr>
          <w:rFonts w:ascii="Garamond" w:hAnsi="Garamond" w:cs="Arial"/>
          <w:sz w:val="26"/>
          <w:szCs w:val="26"/>
        </w:rPr>
        <w:t xml:space="preserve"> Grønland ikke kan handle på egne vegne i mellemfolkelige anliggender. Det vil således ikke inden for grundlovens rammer være muligt for </w:t>
      </w:r>
      <w:r>
        <w:rPr>
          <w:rFonts w:ascii="Garamond" w:hAnsi="Garamond" w:cs="Arial"/>
          <w:sz w:val="26"/>
          <w:szCs w:val="26"/>
        </w:rPr>
        <w:t>Færøerne eller for</w:t>
      </w:r>
      <w:r w:rsidRPr="00450B46">
        <w:rPr>
          <w:rFonts w:ascii="Garamond" w:hAnsi="Garamond" w:cs="Arial"/>
          <w:sz w:val="26"/>
          <w:szCs w:val="26"/>
        </w:rPr>
        <w:t xml:space="preserve"> </w:t>
      </w:r>
      <w:r>
        <w:rPr>
          <w:rFonts w:ascii="Garamond" w:hAnsi="Garamond" w:cs="Arial"/>
          <w:sz w:val="26"/>
          <w:szCs w:val="26"/>
        </w:rPr>
        <w:t xml:space="preserve">Grønland </w:t>
      </w:r>
      <w:r w:rsidRPr="00450B46">
        <w:rPr>
          <w:rFonts w:ascii="Garamond" w:hAnsi="Garamond" w:cs="Arial"/>
          <w:sz w:val="26"/>
          <w:szCs w:val="26"/>
        </w:rPr>
        <w:t>at optræde som særskilte parter i relation til en folkeretlig aftale,</w:t>
      </w:r>
      <w:r>
        <w:rPr>
          <w:rFonts w:ascii="Garamond" w:hAnsi="Garamond" w:cs="Arial"/>
          <w:sz w:val="26"/>
          <w:szCs w:val="26"/>
        </w:rPr>
        <w:t xml:space="preserve"> der også skal finde anvendelse for Danmark,</w:t>
      </w:r>
      <w:r w:rsidRPr="00450B46">
        <w:rPr>
          <w:rFonts w:ascii="Garamond" w:hAnsi="Garamond" w:cs="Arial"/>
          <w:sz w:val="26"/>
          <w:szCs w:val="26"/>
        </w:rPr>
        <w:t xml:space="preserve"> da Kongeriget Danmark – såvel statsretligt som folkeretligt – er ét folkeretssubjekt. </w:t>
      </w:r>
    </w:p>
    <w:p w:rsidR="00450B46" w:rsidRPr="00450B46" w:rsidRDefault="006E06C3" w:rsidP="003458EF">
      <w:pPr>
        <w:autoSpaceDE w:val="0"/>
        <w:autoSpaceDN w:val="0"/>
        <w:adjustRightInd w:val="0"/>
        <w:spacing w:after="0" w:line="240" w:lineRule="auto"/>
        <w:contextualSpacing/>
        <w:rPr>
          <w:rFonts w:ascii="Garamond" w:hAnsi="Garamond" w:cs="Arial"/>
          <w:sz w:val="26"/>
          <w:szCs w:val="26"/>
        </w:rPr>
      </w:pPr>
    </w:p>
    <w:p w:rsidR="0061748A" w:rsidRDefault="006C3C6B" w:rsidP="003458EF">
      <w:pPr>
        <w:autoSpaceDE w:val="0"/>
        <w:autoSpaceDN w:val="0"/>
        <w:adjustRightInd w:val="0"/>
        <w:spacing w:after="0" w:line="240" w:lineRule="auto"/>
        <w:contextualSpacing/>
        <w:rPr>
          <w:rFonts w:ascii="Garamond" w:hAnsi="Garamond" w:cs="Arial"/>
          <w:sz w:val="26"/>
          <w:szCs w:val="26"/>
        </w:rPr>
      </w:pPr>
      <w:r>
        <w:rPr>
          <w:rFonts w:ascii="Garamond" w:hAnsi="Garamond" w:cs="Arial"/>
          <w:sz w:val="26"/>
          <w:szCs w:val="26"/>
        </w:rPr>
        <w:t>Det fremgår endvidere af bemærkningerne til den nævnte lovgivning, at g</w:t>
      </w:r>
      <w:r w:rsidRPr="00450B46">
        <w:rPr>
          <w:rFonts w:ascii="Garamond" w:hAnsi="Garamond" w:cs="Arial"/>
          <w:sz w:val="26"/>
          <w:szCs w:val="26"/>
        </w:rPr>
        <w:t xml:space="preserve">rundloven imidlertid ikke </w:t>
      </w:r>
      <w:r>
        <w:rPr>
          <w:rFonts w:ascii="Garamond" w:hAnsi="Garamond" w:cs="Arial"/>
          <w:sz w:val="26"/>
          <w:szCs w:val="26"/>
        </w:rPr>
        <w:t xml:space="preserve">er </w:t>
      </w:r>
      <w:r w:rsidRPr="00450B46">
        <w:rPr>
          <w:rFonts w:ascii="Garamond" w:hAnsi="Garamond" w:cs="Arial"/>
          <w:sz w:val="26"/>
          <w:szCs w:val="26"/>
        </w:rPr>
        <w:t>til hinder for, at der – som det er gjort i fuldmagtsloven og selvstyreloven – gives Færøerne</w:t>
      </w:r>
      <w:r>
        <w:rPr>
          <w:rFonts w:ascii="Garamond" w:hAnsi="Garamond" w:cs="Arial"/>
          <w:sz w:val="26"/>
          <w:szCs w:val="26"/>
        </w:rPr>
        <w:t>s landsstyre</w:t>
      </w:r>
      <w:r w:rsidRPr="00450B46">
        <w:rPr>
          <w:rFonts w:ascii="Garamond" w:hAnsi="Garamond" w:cs="Arial"/>
          <w:sz w:val="26"/>
          <w:szCs w:val="26"/>
        </w:rPr>
        <w:t xml:space="preserve"> og </w:t>
      </w:r>
      <w:proofErr w:type="spellStart"/>
      <w:r>
        <w:rPr>
          <w:rFonts w:ascii="Garamond" w:hAnsi="Garamond" w:cs="Arial"/>
          <w:sz w:val="26"/>
          <w:szCs w:val="26"/>
        </w:rPr>
        <w:t>Naalakkersuisut</w:t>
      </w:r>
      <w:proofErr w:type="spellEnd"/>
      <w:r>
        <w:rPr>
          <w:rFonts w:ascii="Garamond" w:hAnsi="Garamond" w:cs="Arial"/>
          <w:sz w:val="26"/>
          <w:szCs w:val="26"/>
        </w:rPr>
        <w:t xml:space="preserve"> </w:t>
      </w:r>
      <w:r w:rsidRPr="00450B46">
        <w:rPr>
          <w:rFonts w:ascii="Garamond" w:hAnsi="Garamond" w:cs="Arial"/>
          <w:sz w:val="26"/>
          <w:szCs w:val="26"/>
        </w:rPr>
        <w:t xml:space="preserve">en generel bemyndigelse til på </w:t>
      </w:r>
      <w:r w:rsidRPr="004A2F75">
        <w:rPr>
          <w:rFonts w:ascii="Garamond" w:hAnsi="Garamond" w:cs="Arial"/>
          <w:sz w:val="26"/>
          <w:szCs w:val="26"/>
        </w:rPr>
        <w:t>rigets</w:t>
      </w:r>
      <w:r w:rsidRPr="000F71E7">
        <w:rPr>
          <w:rFonts w:ascii="Garamond" w:hAnsi="Garamond" w:cs="Arial"/>
          <w:sz w:val="26"/>
          <w:szCs w:val="26"/>
        </w:rPr>
        <w:t xml:space="preserve"> </w:t>
      </w:r>
      <w:r w:rsidRPr="00450B46">
        <w:rPr>
          <w:rFonts w:ascii="Garamond" w:hAnsi="Garamond" w:cs="Arial"/>
          <w:sz w:val="26"/>
          <w:szCs w:val="26"/>
        </w:rPr>
        <w:t>vegne at forhandle og indgå folkeretlige aftaler, som fuldt ud angår overtagne sagsområder</w:t>
      </w:r>
      <w:r>
        <w:rPr>
          <w:rFonts w:ascii="Garamond" w:hAnsi="Garamond" w:cs="Arial"/>
          <w:sz w:val="26"/>
          <w:szCs w:val="26"/>
        </w:rPr>
        <w:t xml:space="preserve">, når visse nærmere betingelser i øvrigt er opfyldt, herunder at aftalen ikke tillige berører andre dele af riget eller strider mod rigets generelle udenrigspolitik. </w:t>
      </w:r>
    </w:p>
    <w:p w:rsidR="0061748A" w:rsidRDefault="006E06C3" w:rsidP="003458EF">
      <w:pPr>
        <w:autoSpaceDE w:val="0"/>
        <w:autoSpaceDN w:val="0"/>
        <w:adjustRightInd w:val="0"/>
        <w:spacing w:after="0" w:line="240" w:lineRule="auto"/>
        <w:contextualSpacing/>
        <w:rPr>
          <w:rFonts w:ascii="Garamond" w:hAnsi="Garamond" w:cs="Arial"/>
          <w:sz w:val="26"/>
          <w:szCs w:val="26"/>
        </w:rPr>
      </w:pPr>
    </w:p>
    <w:p w:rsidR="00F25F08" w:rsidRDefault="006C3C6B" w:rsidP="00CB37C1">
      <w:pPr>
        <w:spacing w:line="240" w:lineRule="auto"/>
        <w:contextualSpacing/>
        <w:rPr>
          <w:rFonts w:ascii="Garamond" w:hAnsi="Garamond" w:cs="Arial"/>
          <w:sz w:val="26"/>
          <w:szCs w:val="26"/>
        </w:rPr>
      </w:pPr>
      <w:r>
        <w:rPr>
          <w:rFonts w:ascii="Garamond" w:hAnsi="Garamond" w:cs="Arial"/>
          <w:sz w:val="26"/>
          <w:szCs w:val="26"/>
        </w:rPr>
        <w:t xml:space="preserve">Da det er ønskeligt, at </w:t>
      </w:r>
      <w:r w:rsidRPr="00450B46">
        <w:rPr>
          <w:rFonts w:ascii="Garamond" w:hAnsi="Garamond" w:cs="Arial"/>
          <w:sz w:val="26"/>
          <w:szCs w:val="26"/>
        </w:rPr>
        <w:t xml:space="preserve">Færøernes landsstyre </w:t>
      </w:r>
      <w:r>
        <w:rPr>
          <w:rFonts w:ascii="Garamond" w:hAnsi="Garamond" w:cs="Arial"/>
          <w:sz w:val="26"/>
          <w:szCs w:val="26"/>
        </w:rPr>
        <w:t xml:space="preserve">og </w:t>
      </w:r>
      <w:proofErr w:type="spellStart"/>
      <w:r>
        <w:rPr>
          <w:rFonts w:ascii="Garamond" w:hAnsi="Garamond" w:cs="Arial"/>
          <w:sz w:val="26"/>
          <w:szCs w:val="26"/>
        </w:rPr>
        <w:t>Naalakkersuisut</w:t>
      </w:r>
      <w:proofErr w:type="spellEnd"/>
      <w:r w:rsidRPr="00450B46">
        <w:rPr>
          <w:rFonts w:ascii="Garamond" w:hAnsi="Garamond" w:cs="Arial"/>
          <w:sz w:val="26"/>
          <w:szCs w:val="26"/>
        </w:rPr>
        <w:t xml:space="preserve"> </w:t>
      </w:r>
      <w:r>
        <w:rPr>
          <w:rFonts w:ascii="Garamond" w:hAnsi="Garamond" w:cs="Arial"/>
          <w:sz w:val="26"/>
          <w:szCs w:val="26"/>
        </w:rPr>
        <w:t xml:space="preserve">i fællesskab kan </w:t>
      </w:r>
      <w:r w:rsidRPr="00450B46">
        <w:rPr>
          <w:rFonts w:ascii="Garamond" w:hAnsi="Garamond" w:cs="Arial"/>
          <w:sz w:val="26"/>
          <w:szCs w:val="26"/>
        </w:rPr>
        <w:t xml:space="preserve">handle i forening på </w:t>
      </w:r>
      <w:r w:rsidRPr="004A2F75">
        <w:rPr>
          <w:rFonts w:ascii="Garamond" w:hAnsi="Garamond" w:cs="Arial"/>
          <w:sz w:val="26"/>
          <w:szCs w:val="26"/>
        </w:rPr>
        <w:t>rigets</w:t>
      </w:r>
      <w:r w:rsidRPr="000F71E7">
        <w:rPr>
          <w:rFonts w:ascii="Garamond" w:hAnsi="Garamond" w:cs="Arial"/>
          <w:sz w:val="26"/>
          <w:szCs w:val="26"/>
        </w:rPr>
        <w:t xml:space="preserve"> </w:t>
      </w:r>
      <w:r w:rsidRPr="00450B46">
        <w:rPr>
          <w:rFonts w:ascii="Garamond" w:hAnsi="Garamond" w:cs="Arial"/>
          <w:sz w:val="26"/>
          <w:szCs w:val="26"/>
        </w:rPr>
        <w:t>vegne ved folkeretlige aftaler</w:t>
      </w:r>
      <w:r>
        <w:rPr>
          <w:rFonts w:ascii="Garamond" w:hAnsi="Garamond" w:cs="Arial"/>
          <w:sz w:val="26"/>
          <w:szCs w:val="26"/>
        </w:rPr>
        <w:t>, som både vedrører Færøerne og Grønland, er der</w:t>
      </w:r>
      <w:r w:rsidRPr="00450B46">
        <w:rPr>
          <w:rFonts w:ascii="Garamond" w:hAnsi="Garamond" w:cs="Arial"/>
          <w:sz w:val="26"/>
          <w:szCs w:val="26"/>
        </w:rPr>
        <w:t xml:space="preserve"> i </w:t>
      </w:r>
      <w:r>
        <w:rPr>
          <w:rFonts w:ascii="Garamond" w:hAnsi="Garamond" w:cs="Arial"/>
          <w:sz w:val="26"/>
          <w:szCs w:val="26"/>
        </w:rPr>
        <w:t xml:space="preserve">fuldmagtsloven og </w:t>
      </w:r>
      <w:r w:rsidRPr="00450B46">
        <w:rPr>
          <w:rFonts w:ascii="Garamond" w:hAnsi="Garamond" w:cs="Arial"/>
          <w:sz w:val="26"/>
          <w:szCs w:val="26"/>
        </w:rPr>
        <w:t>s</w:t>
      </w:r>
      <w:r>
        <w:rPr>
          <w:rFonts w:ascii="Garamond" w:hAnsi="Garamond" w:cs="Arial"/>
          <w:sz w:val="26"/>
          <w:szCs w:val="26"/>
        </w:rPr>
        <w:t xml:space="preserve">elvstyreloven endvidere åbnet mulighed for, at Færøernes landsstyre og </w:t>
      </w:r>
      <w:proofErr w:type="spellStart"/>
      <w:r>
        <w:rPr>
          <w:rFonts w:ascii="Garamond" w:hAnsi="Garamond" w:cs="Arial"/>
          <w:sz w:val="26"/>
          <w:szCs w:val="26"/>
        </w:rPr>
        <w:t>Naalakkersuisut</w:t>
      </w:r>
      <w:proofErr w:type="spellEnd"/>
      <w:r>
        <w:rPr>
          <w:rFonts w:ascii="Garamond" w:hAnsi="Garamond" w:cs="Arial"/>
          <w:sz w:val="26"/>
          <w:szCs w:val="26"/>
        </w:rPr>
        <w:t xml:space="preserve"> kan forhandle og indgå sådanne aftaler, under forudsætning af, at de handler i forening. Færøernes landsstyre og </w:t>
      </w:r>
      <w:proofErr w:type="spellStart"/>
      <w:r>
        <w:rPr>
          <w:rFonts w:ascii="Garamond" w:hAnsi="Garamond" w:cs="Arial"/>
          <w:sz w:val="26"/>
          <w:szCs w:val="26"/>
        </w:rPr>
        <w:t>Naalakkersuisut</w:t>
      </w:r>
      <w:proofErr w:type="spellEnd"/>
      <w:r>
        <w:rPr>
          <w:rFonts w:ascii="Garamond" w:hAnsi="Garamond" w:cs="Arial"/>
          <w:sz w:val="26"/>
          <w:szCs w:val="26"/>
        </w:rPr>
        <w:t xml:space="preserve"> må med hensyn til de centrale formelle skridt om forhandlingernes påbegyndelse og afslutning samt ved aftalens indgåelse handle som én part, da Kongeriget Danmark, som nævnt ovenfor, ifølge grundloven er ét folkeretssubjekt. </w:t>
      </w:r>
    </w:p>
    <w:p w:rsidR="00F25F08" w:rsidRDefault="006E06C3" w:rsidP="00CB37C1">
      <w:pPr>
        <w:spacing w:line="240" w:lineRule="auto"/>
        <w:contextualSpacing/>
        <w:rPr>
          <w:rFonts w:ascii="Garamond" w:hAnsi="Garamond" w:cs="Arial"/>
          <w:sz w:val="26"/>
          <w:szCs w:val="26"/>
        </w:rPr>
      </w:pPr>
    </w:p>
    <w:p w:rsidR="00CB37C1" w:rsidRDefault="006C3C6B" w:rsidP="00CB37C1">
      <w:pPr>
        <w:spacing w:line="240" w:lineRule="auto"/>
        <w:contextualSpacing/>
        <w:rPr>
          <w:rFonts w:ascii="Garamond" w:hAnsi="Garamond"/>
          <w:sz w:val="26"/>
          <w:szCs w:val="26"/>
        </w:rPr>
      </w:pPr>
      <w:r>
        <w:rPr>
          <w:rFonts w:ascii="Garamond" w:hAnsi="Garamond" w:cs="Arial"/>
          <w:sz w:val="26"/>
          <w:szCs w:val="26"/>
        </w:rPr>
        <w:t>I visse internationale fiskeriorganisationer er</w:t>
      </w:r>
      <w:r w:rsidRPr="00D97BCF">
        <w:rPr>
          <w:rFonts w:ascii="Garamond" w:hAnsi="Garamond" w:cs="Arial"/>
          <w:sz w:val="26"/>
          <w:szCs w:val="26"/>
        </w:rPr>
        <w:t xml:space="preserve"> EU m</w:t>
      </w:r>
      <w:r>
        <w:rPr>
          <w:rFonts w:ascii="Garamond" w:hAnsi="Garamond" w:cs="Arial"/>
          <w:sz w:val="26"/>
          <w:szCs w:val="26"/>
        </w:rPr>
        <w:t>edlem på samtlige medlemsstaters vegne, herunder den Nordøstatlantiske Fiskerikommission (NEAFC), og EU har kun én stemme i organisationen.</w:t>
      </w:r>
      <w:r w:rsidRPr="00D97BCF">
        <w:rPr>
          <w:rFonts w:ascii="Garamond" w:hAnsi="Garamond" w:cs="Arial"/>
          <w:sz w:val="26"/>
          <w:szCs w:val="26"/>
        </w:rPr>
        <w:t xml:space="preserve"> Danmark</w:t>
      </w:r>
      <w:r>
        <w:rPr>
          <w:rFonts w:ascii="Garamond" w:hAnsi="Garamond" w:cs="Arial"/>
          <w:sz w:val="26"/>
          <w:szCs w:val="26"/>
        </w:rPr>
        <w:t xml:space="preserve"> er</w:t>
      </w:r>
      <w:r w:rsidRPr="00D97BCF">
        <w:rPr>
          <w:rFonts w:ascii="Garamond" w:hAnsi="Garamond" w:cs="Arial"/>
          <w:sz w:val="26"/>
          <w:szCs w:val="26"/>
        </w:rPr>
        <w:t xml:space="preserve"> således ikke selvstændigt medlem</w:t>
      </w:r>
      <w:r>
        <w:rPr>
          <w:rFonts w:ascii="Garamond" w:hAnsi="Garamond" w:cs="Arial"/>
          <w:sz w:val="26"/>
          <w:szCs w:val="26"/>
        </w:rPr>
        <w:t xml:space="preserve"> af NEAFC</w:t>
      </w:r>
      <w:r w:rsidRPr="00D97BCF">
        <w:rPr>
          <w:rFonts w:ascii="Garamond" w:hAnsi="Garamond" w:cs="Arial"/>
          <w:sz w:val="26"/>
          <w:szCs w:val="26"/>
        </w:rPr>
        <w:t>. Det er i disse situationer anerkendt, at Kongeriget Danmark kan optræde som selvstændigt medlem efter</w:t>
      </w:r>
      <w:r>
        <w:rPr>
          <w:rFonts w:ascii="Garamond" w:hAnsi="Garamond" w:cs="Arial"/>
          <w:sz w:val="26"/>
          <w:szCs w:val="26"/>
        </w:rPr>
        <w:t xml:space="preserve"> fuldmagtsordningen</w:t>
      </w:r>
      <w:r w:rsidRPr="00D97BCF">
        <w:rPr>
          <w:rFonts w:ascii="Garamond" w:hAnsi="Garamond" w:cs="Arial"/>
          <w:sz w:val="26"/>
          <w:szCs w:val="26"/>
        </w:rPr>
        <w:t xml:space="preserve"> </w:t>
      </w:r>
      <w:r>
        <w:rPr>
          <w:rFonts w:ascii="Garamond" w:hAnsi="Garamond" w:cs="Arial"/>
          <w:sz w:val="26"/>
          <w:szCs w:val="26"/>
        </w:rPr>
        <w:t>under betegnelsen ”</w:t>
      </w:r>
      <w:r w:rsidRPr="00D97BCF">
        <w:rPr>
          <w:rFonts w:ascii="Garamond" w:hAnsi="Garamond" w:cs="Arial"/>
          <w:sz w:val="26"/>
          <w:szCs w:val="26"/>
        </w:rPr>
        <w:t>Kongeriget Danmark for så vidt angår Færøerne og Grønland</w:t>
      </w:r>
      <w:r>
        <w:rPr>
          <w:rFonts w:ascii="Garamond" w:hAnsi="Garamond" w:cs="Arial"/>
          <w:sz w:val="26"/>
          <w:szCs w:val="26"/>
        </w:rPr>
        <w:t>” (den såkaldte</w:t>
      </w:r>
      <w:r w:rsidRPr="003458EF">
        <w:rPr>
          <w:rFonts w:ascii="Garamond" w:hAnsi="Garamond" w:cs="Arial"/>
          <w:sz w:val="26"/>
          <w:szCs w:val="26"/>
        </w:rPr>
        <w:t xml:space="preserve"> </w:t>
      </w:r>
      <w:r w:rsidRPr="00D97BCF">
        <w:rPr>
          <w:rFonts w:ascii="Garamond" w:hAnsi="Garamond" w:cs="Arial"/>
          <w:sz w:val="26"/>
          <w:szCs w:val="26"/>
        </w:rPr>
        <w:t>DFG</w:t>
      </w:r>
      <w:r>
        <w:rPr>
          <w:rFonts w:ascii="Garamond" w:hAnsi="Garamond" w:cs="Arial"/>
          <w:sz w:val="26"/>
          <w:szCs w:val="26"/>
        </w:rPr>
        <w:t>-model).</w:t>
      </w:r>
      <w:r w:rsidRPr="00CB37C1">
        <w:rPr>
          <w:rFonts w:ascii="Garamond" w:hAnsi="Garamond"/>
          <w:sz w:val="26"/>
          <w:szCs w:val="26"/>
        </w:rPr>
        <w:t xml:space="preserve"> </w:t>
      </w:r>
      <w:r>
        <w:rPr>
          <w:rFonts w:ascii="Garamond" w:hAnsi="Garamond"/>
          <w:sz w:val="26"/>
          <w:szCs w:val="26"/>
        </w:rPr>
        <w:t xml:space="preserve">Det er forudsat i lovgivningen om fuldmagtsordningen, </w:t>
      </w:r>
      <w:r>
        <w:rPr>
          <w:rFonts w:ascii="Garamond" w:hAnsi="Garamond"/>
          <w:sz w:val="26"/>
          <w:szCs w:val="26"/>
        </w:rPr>
        <w:lastRenderedPageBreak/>
        <w:t>at såfremt et af landstyrerne ikke ønsker at udnytte muligheden for at handle i forening, vil fuldmagtsordningen ikke kunne anvendes, og forhandlingerne vil skulle ske med Udenrigstjenestens medvirken.</w:t>
      </w:r>
    </w:p>
    <w:p w:rsidR="00CB37C1" w:rsidRDefault="006E06C3" w:rsidP="00CB37C1">
      <w:pPr>
        <w:spacing w:line="240" w:lineRule="auto"/>
        <w:contextualSpacing/>
        <w:rPr>
          <w:rFonts w:ascii="Garamond" w:hAnsi="Garamond"/>
          <w:sz w:val="26"/>
          <w:szCs w:val="26"/>
        </w:rPr>
      </w:pPr>
    </w:p>
    <w:p w:rsidR="00FA364B" w:rsidRPr="00FA364B" w:rsidRDefault="006C3C6B" w:rsidP="00267F6E">
      <w:pPr>
        <w:spacing w:line="240" w:lineRule="auto"/>
        <w:contextualSpacing/>
        <w:rPr>
          <w:rFonts w:ascii="Garamond" w:hAnsi="Garamond" w:cs="Arial"/>
          <w:sz w:val="26"/>
          <w:szCs w:val="26"/>
        </w:rPr>
      </w:pPr>
      <w:r w:rsidRPr="000365E7">
        <w:rPr>
          <w:rFonts w:ascii="Garamond" w:hAnsi="Garamond"/>
          <w:sz w:val="26"/>
          <w:szCs w:val="26"/>
        </w:rPr>
        <w:t>Fiskeri er det bærende erhverv på Færøerne og i Grønland. De</w:t>
      </w:r>
      <w:r>
        <w:rPr>
          <w:rFonts w:ascii="Garamond" w:hAnsi="Garamond"/>
          <w:sz w:val="26"/>
          <w:szCs w:val="26"/>
        </w:rPr>
        <w:t>t er de</w:t>
      </w:r>
      <w:r w:rsidRPr="000365E7">
        <w:rPr>
          <w:rFonts w:ascii="Garamond" w:hAnsi="Garamond"/>
          <w:sz w:val="26"/>
          <w:szCs w:val="26"/>
        </w:rPr>
        <w:t xml:space="preserve">rfor vigtigt, at der er et godt samarbejde i rigsfællesskabet også på fiskeriområdet. </w:t>
      </w:r>
      <w:r>
        <w:rPr>
          <w:rFonts w:ascii="Garamond" w:hAnsi="Garamond" w:cs="Arial"/>
          <w:sz w:val="26"/>
          <w:szCs w:val="26"/>
        </w:rPr>
        <w:t>R</w:t>
      </w:r>
      <w:r w:rsidRPr="00FA364B">
        <w:rPr>
          <w:rFonts w:ascii="Garamond" w:hAnsi="Garamond" w:cs="Arial"/>
          <w:sz w:val="26"/>
          <w:szCs w:val="26"/>
        </w:rPr>
        <w:t xml:space="preserve">egeringen er indstillet </w:t>
      </w:r>
      <w:r>
        <w:rPr>
          <w:rFonts w:ascii="Garamond" w:hAnsi="Garamond" w:cs="Arial"/>
          <w:sz w:val="26"/>
          <w:szCs w:val="26"/>
        </w:rPr>
        <w:t xml:space="preserve">på </w:t>
      </w:r>
      <w:r w:rsidRPr="00FA364B">
        <w:rPr>
          <w:rFonts w:ascii="Garamond" w:hAnsi="Garamond" w:cs="Arial"/>
          <w:sz w:val="26"/>
          <w:szCs w:val="26"/>
        </w:rPr>
        <w:t xml:space="preserve">inden for de </w:t>
      </w:r>
      <w:r>
        <w:rPr>
          <w:rFonts w:ascii="Garamond" w:hAnsi="Garamond" w:cs="Arial"/>
          <w:sz w:val="26"/>
          <w:szCs w:val="26"/>
        </w:rPr>
        <w:t>nævnte</w:t>
      </w:r>
      <w:r w:rsidRPr="00FA364B">
        <w:rPr>
          <w:rFonts w:ascii="Garamond" w:hAnsi="Garamond" w:cs="Arial"/>
          <w:sz w:val="26"/>
          <w:szCs w:val="26"/>
        </w:rPr>
        <w:t xml:space="preserve"> rammer at finde praktiske modeller for samarbejdet på </w:t>
      </w:r>
      <w:r>
        <w:rPr>
          <w:rFonts w:ascii="Garamond" w:hAnsi="Garamond" w:cs="Arial"/>
          <w:sz w:val="26"/>
          <w:szCs w:val="26"/>
        </w:rPr>
        <w:t xml:space="preserve">dette </w:t>
      </w:r>
      <w:r w:rsidRPr="00FA364B">
        <w:rPr>
          <w:rFonts w:ascii="Garamond" w:hAnsi="Garamond" w:cs="Arial"/>
          <w:sz w:val="26"/>
          <w:szCs w:val="26"/>
        </w:rPr>
        <w:t>område.</w:t>
      </w:r>
    </w:p>
    <w:sectPr w:rsidR="00FA364B" w:rsidRPr="00FA364B" w:rsidSect="00340F9B">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6B"/>
    <w:rsid w:val="006C3C6B"/>
    <w:rsid w:val="006E06C3"/>
    <w:rsid w:val="00BA5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41026-154C-4431-B10D-F1D0A82F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87851"/>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CB37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Hundahl</dc:creator>
  <cp:lastModifiedBy>Joan Ólavsdóttir</cp:lastModifiedBy>
  <cp:revision>2</cp:revision>
  <dcterms:created xsi:type="dcterms:W3CDTF">2016-12-09T16:01:00Z</dcterms:created>
  <dcterms:modified xsi:type="dcterms:W3CDTF">2016-12-09T16:01:00Z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352314178</vt:i4>
  </property>
  <property fmtid="{D5CDD505-2E9C-101B-9397-08002B2CF9AE}" pid="3" name="_NewReviewCycle">
    <vt:lpwstr/>
  </property>
  <property fmtid="{D5CDD505-2E9C-101B-9397-08002B2CF9AE}" pid="4" name="_EmailSubject">
    <vt:lpwstr>Tíðindaskriv - Føroyskur uttanríkispolitikkur: nýggja stjórnin heldur somu kós</vt:lpwstr>
  </property>
  <property fmtid="{D5CDD505-2E9C-101B-9397-08002B2CF9AE}" pid="5" name="_AuthorEmail">
    <vt:lpwstr>Joan.Olavsdottir@ft.dk</vt:lpwstr>
  </property>
  <property fmtid="{D5CDD505-2E9C-101B-9397-08002B2CF9AE}" pid="6" name="_AuthorEmailDisplayName">
    <vt:lpwstr>Joan Ólavsdóttir</vt:lpwstr>
  </property>
</Properties>
</file>